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1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194"/>
        <w:gridCol w:w="6717"/>
      </w:tblGrid>
      <w:tr w:rsidR="0086620E" w:rsidRPr="00734E4D" w:rsidTr="00F83F7D">
        <w:trPr>
          <w:trHeight w:val="462"/>
          <w:tblCellSpacing w:w="20" w:type="dxa"/>
        </w:trPr>
        <w:tc>
          <w:tcPr>
            <w:tcW w:w="3134" w:type="dxa"/>
            <w:shd w:val="clear" w:color="auto" w:fill="auto"/>
          </w:tcPr>
          <w:p w:rsidR="0086620E" w:rsidRPr="00734E4D" w:rsidRDefault="0086620E" w:rsidP="00D603AF">
            <w:pPr>
              <w:pStyle w:val="Style1"/>
              <w:jc w:val="both"/>
              <w:rPr>
                <w:b/>
                <w:sz w:val="22"/>
                <w:szCs w:val="22"/>
              </w:rPr>
            </w:pPr>
            <w:r w:rsidRPr="00734E4D">
              <w:rPr>
                <w:b/>
                <w:sz w:val="22"/>
                <w:szCs w:val="22"/>
              </w:rPr>
              <w:t>Position Title:</w:t>
            </w:r>
          </w:p>
        </w:tc>
        <w:tc>
          <w:tcPr>
            <w:tcW w:w="6657" w:type="dxa"/>
            <w:shd w:val="clear" w:color="auto" w:fill="auto"/>
          </w:tcPr>
          <w:p w:rsidR="0086620E" w:rsidRPr="00734E4D" w:rsidRDefault="00F83F7D" w:rsidP="00D603AF">
            <w:pPr>
              <w:pStyle w:val="Style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 VISTA Summer Mobile Recreation Coordinator</w:t>
            </w:r>
          </w:p>
        </w:tc>
      </w:tr>
      <w:tr w:rsidR="0086620E" w:rsidRPr="00734E4D" w:rsidTr="00F83F7D">
        <w:trPr>
          <w:trHeight w:val="231"/>
          <w:tblCellSpacing w:w="20" w:type="dxa"/>
        </w:trPr>
        <w:tc>
          <w:tcPr>
            <w:tcW w:w="3134" w:type="dxa"/>
            <w:shd w:val="clear" w:color="auto" w:fill="auto"/>
          </w:tcPr>
          <w:p w:rsidR="0086620E" w:rsidRPr="00734E4D" w:rsidRDefault="00F83F7D" w:rsidP="00D603AF">
            <w:pPr>
              <w:pStyle w:val="Style1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Site Location:</w:t>
            </w:r>
          </w:p>
        </w:tc>
        <w:tc>
          <w:tcPr>
            <w:tcW w:w="6657" w:type="dxa"/>
            <w:shd w:val="clear" w:color="auto" w:fill="auto"/>
          </w:tcPr>
          <w:p w:rsidR="0086620E" w:rsidRPr="00734E4D" w:rsidRDefault="00F83F7D" w:rsidP="00D603AF">
            <w:pPr>
              <w:pStyle w:val="Style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Jefferson County Parks and Recreation Commission</w:t>
            </w:r>
          </w:p>
        </w:tc>
      </w:tr>
      <w:tr w:rsidR="0086620E" w:rsidRPr="00734E4D" w:rsidTr="00F83F7D">
        <w:trPr>
          <w:trHeight w:val="231"/>
          <w:tblCellSpacing w:w="20" w:type="dxa"/>
        </w:trPr>
        <w:tc>
          <w:tcPr>
            <w:tcW w:w="3134" w:type="dxa"/>
            <w:shd w:val="clear" w:color="auto" w:fill="auto"/>
          </w:tcPr>
          <w:p w:rsidR="0086620E" w:rsidRPr="00734E4D" w:rsidRDefault="0086620E" w:rsidP="00D603AF">
            <w:pPr>
              <w:pStyle w:val="Style1"/>
              <w:jc w:val="both"/>
              <w:rPr>
                <w:b/>
                <w:sz w:val="22"/>
                <w:szCs w:val="22"/>
              </w:rPr>
            </w:pPr>
            <w:r w:rsidRPr="00734E4D">
              <w:rPr>
                <w:b/>
                <w:sz w:val="22"/>
                <w:szCs w:val="22"/>
              </w:rPr>
              <w:t>Reports to:</w:t>
            </w:r>
          </w:p>
        </w:tc>
        <w:tc>
          <w:tcPr>
            <w:tcW w:w="6657" w:type="dxa"/>
            <w:shd w:val="clear" w:color="auto" w:fill="auto"/>
          </w:tcPr>
          <w:p w:rsidR="0086620E" w:rsidRPr="00734E4D" w:rsidRDefault="00F83F7D" w:rsidP="00D603AF">
            <w:pPr>
              <w:pStyle w:val="Style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Jefferson County Parks and Recreation Director</w:t>
            </w:r>
          </w:p>
        </w:tc>
      </w:tr>
    </w:tbl>
    <w:p w:rsidR="008D5369" w:rsidRDefault="008D5369"/>
    <w:p w:rsidR="0086620E" w:rsidRDefault="00F83F7D">
      <w:r>
        <w:t xml:space="preserve">Jefferson County Parks and Recreation is pleased to announce a Summer Associate VISTA </w:t>
      </w:r>
      <w:r w:rsidR="00824FF9">
        <w:t xml:space="preserve">(SA VISTA) </w:t>
      </w:r>
      <w:r>
        <w:t xml:space="preserve">opportunity.  Jefferson County Parks and Recreation is taking our show on the road to encourage kids and families to get out and play.  </w:t>
      </w:r>
      <w:r w:rsidR="00824FF9" w:rsidRPr="00824FF9">
        <w:t>Our mobile recreation unit will provide opportunities for family and community building,</w:t>
      </w:r>
      <w:r w:rsidR="00824FF9">
        <w:t xml:space="preserve"> </w:t>
      </w:r>
      <w:r w:rsidR="00824FF9" w:rsidRPr="00824FF9">
        <w:t xml:space="preserve">nutrition education, and physical activity.  These amazing free programs will go to community events and neighborhoods with little or no access to organized recreation programs.  </w:t>
      </w:r>
      <w:r w:rsidR="00824FF9">
        <w:t>The Play it Forward! – Mobile Recreation Unit will be</w:t>
      </w:r>
      <w:r w:rsidR="00824FF9" w:rsidRPr="00824FF9">
        <w:t xml:space="preserve"> equipped with sports equipment, arts and crafts, and plenty of healthy snacks.  The program will also include a free s</w:t>
      </w:r>
      <w:r w:rsidR="00824FF9">
        <w:t xml:space="preserve">ummer Movies in the Park series. </w:t>
      </w:r>
      <w:r w:rsidR="00824FF9" w:rsidRPr="00824FF9">
        <w:t>The mobile recreation unit will stir up excitement in neighborhoods throughout Jefferson County and create safe environment</w:t>
      </w:r>
      <w:r w:rsidR="00824FF9">
        <w:t>s</w:t>
      </w:r>
      <w:r w:rsidR="00824FF9" w:rsidRPr="00824FF9">
        <w:t xml:space="preserve"> for fun and physical activity.  Our parks and recreation team will serve as positive role models for participants by building self-esteem, sportsmanship, teamwo</w:t>
      </w:r>
      <w:r w:rsidR="00824FF9">
        <w:t>rk, creativity and well-being.</w:t>
      </w:r>
    </w:p>
    <w:p w:rsidR="00824FF9" w:rsidRDefault="00824FF9"/>
    <w:p w:rsidR="00824FF9" w:rsidRDefault="00824FF9">
      <w:r>
        <w:t xml:space="preserve">This assignment will be a 10-week assignment, a minimum of 35 hours per week, </w:t>
      </w:r>
      <w:r w:rsidR="0073521C">
        <w:t>beginning on June 7</w:t>
      </w:r>
      <w:r>
        <w:t>,</w:t>
      </w:r>
      <w:r w:rsidR="0073521C">
        <w:t xml:space="preserve"> </w:t>
      </w:r>
      <w:r>
        <w:t>2018 and ending on August 12, 2018.  In this exciting assignment the SA VISTA will develop skills in recreation programming, community outreach, and volunteer coordination and management.</w:t>
      </w:r>
    </w:p>
    <w:p w:rsidR="00824FF9" w:rsidRDefault="00824FF9"/>
    <w:p w:rsidR="00824FF9" w:rsidRDefault="00824FF9"/>
    <w:tbl>
      <w:tblPr>
        <w:tblW w:w="10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61"/>
        <w:gridCol w:w="1534"/>
      </w:tblGrid>
      <w:tr w:rsidR="00824FF9" w:rsidTr="00824FF9"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F9" w:rsidRDefault="00824FF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Goal Statement 1: </w:t>
            </w:r>
            <w:r>
              <w:rPr>
                <w:rFonts w:ascii="Calibri" w:eastAsia="Calibri" w:hAnsi="Calibri"/>
                <w:b/>
                <w:color w:val="FF0000"/>
                <w:sz w:val="22"/>
                <w:szCs w:val="22"/>
              </w:rPr>
              <w:t>West Virginia’s Promise-The Alliance for youth VISTAs will focus on developing/promoting the Five Promises by increasing the capacity building services and moving people out of poverty through community volunteers recruited, trained, and delivering and implementing the F</w:t>
            </w:r>
            <w:r w:rsidR="003D0E5A">
              <w:rPr>
                <w:rFonts w:ascii="Calibri" w:eastAsia="Calibri" w:hAnsi="Calibri"/>
                <w:b/>
                <w:color w:val="FF0000"/>
                <w:sz w:val="22"/>
                <w:szCs w:val="22"/>
              </w:rPr>
              <w:t>ive Promises to at-risk and low-</w:t>
            </w:r>
            <w:r>
              <w:rPr>
                <w:rFonts w:ascii="Calibri" w:eastAsia="Calibri" w:hAnsi="Calibri"/>
                <w:b/>
                <w:color w:val="FF0000"/>
                <w:sz w:val="22"/>
                <w:szCs w:val="22"/>
              </w:rPr>
              <w:t>income children and youth in programs such as educational outreach programs, events and initiatives.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F9" w:rsidRDefault="0073521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June 7</w:t>
            </w:r>
            <w:r w:rsidR="00824FF9">
              <w:rPr>
                <w:rFonts w:ascii="Calibri" w:hAnsi="Calibri"/>
                <w:sz w:val="22"/>
                <w:szCs w:val="22"/>
              </w:rPr>
              <w:t>-</w:t>
            </w:r>
            <w:r w:rsidR="00824FF9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824FF9">
              <w:rPr>
                <w:rFonts w:ascii="Calibri" w:hAnsi="Calibri"/>
                <w:sz w:val="22"/>
                <w:szCs w:val="22"/>
              </w:rPr>
              <w:t>August 12</w:t>
            </w:r>
          </w:p>
        </w:tc>
      </w:tr>
      <w:tr w:rsidR="00824FF9" w:rsidTr="00824FF9"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F9" w:rsidRDefault="00824FF9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Milestone 1: </w:t>
            </w:r>
            <w:r>
              <w:rPr>
                <w:rFonts w:ascii="Calibri" w:hAnsi="Calibri"/>
                <w:b/>
                <w:color w:val="FF0000"/>
                <w:sz w:val="22"/>
                <w:szCs w:val="22"/>
              </w:rPr>
              <w:t>Increase, enhance, expand or develop programs to provide four of the 5 Promises.</w:t>
            </w:r>
          </w:p>
          <w:p w:rsidR="00824FF9" w:rsidRDefault="00824FF9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Indicator:</w:t>
            </w:r>
            <w:r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How many programs are providing four of the five Promises?  30 </w:t>
            </w:r>
          </w:p>
          <w:p w:rsidR="00824FF9" w:rsidRDefault="00824FF9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Step 1: SA VISTA Mobile Recreation Coordinator will plan and execute 3 community engagement events each week in an underserved or walkable area that includes physical activity, nutrition education and STEM education.</w:t>
            </w:r>
          </w:p>
          <w:p w:rsidR="00824FF9" w:rsidRDefault="00824FF9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Step 2: SA VISTA Mobile Recreation Coordinator will create a scalable plan/curriculum for the continuation of mobile recreation programs in the Jefferson County Community during the school year.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F9" w:rsidRDefault="0073521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June 7</w:t>
            </w:r>
            <w:r w:rsidR="00824FF9">
              <w:rPr>
                <w:rFonts w:ascii="Calibri" w:hAnsi="Calibri"/>
                <w:sz w:val="22"/>
                <w:szCs w:val="22"/>
              </w:rPr>
              <w:t xml:space="preserve"> – August 12</w:t>
            </w:r>
          </w:p>
        </w:tc>
      </w:tr>
      <w:tr w:rsidR="00824FF9" w:rsidTr="00824FF9"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24FF9" w:rsidRDefault="00824FF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Milestone 1 Summary of Activities/Progress/Accomplishments/Results:</w:t>
            </w:r>
          </w:p>
          <w:p w:rsidR="00824FF9" w:rsidRDefault="00824FF9">
            <w:pPr>
              <w:rPr>
                <w:rFonts w:ascii="Calibri" w:hAnsi="Calibri"/>
                <w:sz w:val="22"/>
                <w:szCs w:val="22"/>
              </w:rPr>
            </w:pPr>
          </w:p>
          <w:p w:rsidR="00824FF9" w:rsidRDefault="00824FF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24FF9" w:rsidRDefault="00824FF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Milestone 1 Completed (date):</w:t>
            </w:r>
          </w:p>
        </w:tc>
      </w:tr>
      <w:tr w:rsidR="00824FF9" w:rsidTr="00824FF9"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F9" w:rsidRDefault="00824FF9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Milestone 2:</w:t>
            </w:r>
            <w:r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Provide four of the five Promises to 50 new children and youth.</w:t>
            </w:r>
          </w:p>
          <w:p w:rsidR="00824FF9" w:rsidRDefault="00824FF9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Indicator:</w:t>
            </w:r>
            <w:r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Number of new beneficiaries (children &amp; youth) receiving 4 or the 5 Promises? 750</w:t>
            </w:r>
          </w:p>
          <w:p w:rsidR="00824FF9" w:rsidRDefault="00824FF9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Step 1: SA VISTA will engage 750 children in the community who have not previously had access to mobile recreation services in 10 weeks.</w:t>
            </w:r>
          </w:p>
          <w:p w:rsidR="00824FF9" w:rsidRDefault="00824FF9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Step 2: SA VISTA will utilize social media, partnerships, and traditional marketing to attract at least 25 participants to each mobile recreation event.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F9" w:rsidRDefault="0073521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June 7</w:t>
            </w:r>
            <w:r w:rsidR="00824FF9">
              <w:rPr>
                <w:rFonts w:ascii="Calibri" w:hAnsi="Calibri"/>
                <w:sz w:val="22"/>
                <w:szCs w:val="22"/>
              </w:rPr>
              <w:t xml:space="preserve">- </w:t>
            </w:r>
            <w:r w:rsidR="00824FF9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24FF9">
              <w:rPr>
                <w:rFonts w:ascii="Calibri" w:hAnsi="Calibri"/>
                <w:sz w:val="22"/>
                <w:szCs w:val="22"/>
              </w:rPr>
              <w:t>August 12</w:t>
            </w:r>
          </w:p>
        </w:tc>
      </w:tr>
      <w:tr w:rsidR="00824FF9" w:rsidTr="00824FF9"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4FF9" w:rsidRDefault="00824FF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Milestone 2 Summary of Activities/Progress/Accomplishments/Results:</w:t>
            </w:r>
          </w:p>
          <w:p w:rsidR="00824FF9" w:rsidRDefault="00824FF9">
            <w:pPr>
              <w:rPr>
                <w:rFonts w:ascii="Calibri" w:hAnsi="Calibri"/>
                <w:sz w:val="22"/>
                <w:szCs w:val="22"/>
              </w:rPr>
            </w:pPr>
          </w:p>
          <w:p w:rsidR="00824FF9" w:rsidRDefault="00824FF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24FF9" w:rsidRDefault="00824FF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Milestone 2 Completed (date):</w:t>
            </w:r>
          </w:p>
        </w:tc>
      </w:tr>
      <w:tr w:rsidR="00824FF9" w:rsidTr="00824FF9"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F9" w:rsidRDefault="00824FF9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Milestone 3:</w:t>
            </w:r>
            <w:r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Recruit community volunteers.</w:t>
            </w:r>
          </w:p>
          <w:p w:rsidR="00824FF9" w:rsidRDefault="00824FF9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Indicator:</w:t>
            </w:r>
            <w:r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Number of community volunteers recruited? 150</w:t>
            </w:r>
          </w:p>
          <w:p w:rsidR="00824FF9" w:rsidRDefault="00824FF9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Indicator:</w:t>
            </w:r>
            <w:r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How many hours of service are contributed by community volunteers?</w:t>
            </w:r>
          </w:p>
          <w:p w:rsidR="00824FF9" w:rsidRDefault="00824FF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Step 1: SA VISTA will schedule mobile recreation opportunities that meet the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5 adult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volunteer minimum qualification. </w:t>
            </w:r>
          </w:p>
          <w:p w:rsidR="00824FF9" w:rsidRDefault="00824FF9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Step 2: SA VISTA track volunteer contact information and hours served in a spreadsheet for future use.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F9" w:rsidRDefault="0073521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June </w:t>
            </w:r>
            <w:r w:rsidR="00824FF9">
              <w:rPr>
                <w:rFonts w:ascii="Calibri" w:hAnsi="Calibri"/>
                <w:sz w:val="22"/>
                <w:szCs w:val="22"/>
              </w:rPr>
              <w:t xml:space="preserve">- </w:t>
            </w:r>
            <w:r w:rsidR="00824FF9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24FF9">
              <w:rPr>
                <w:rFonts w:ascii="Calibri" w:hAnsi="Calibri"/>
                <w:sz w:val="22"/>
                <w:szCs w:val="22"/>
              </w:rPr>
              <w:t>August 12</w:t>
            </w:r>
          </w:p>
        </w:tc>
      </w:tr>
    </w:tbl>
    <w:p w:rsidR="00824FF9" w:rsidRDefault="00824FF9"/>
    <w:p w:rsidR="00824FF9" w:rsidRDefault="003D0E5A">
      <w:r>
        <w:t>To a</w:t>
      </w:r>
      <w:r w:rsidR="00824FF9">
        <w:t xml:space="preserve">pply, </w:t>
      </w:r>
      <w:r w:rsidR="0073521C">
        <w:t xml:space="preserve">visit </w:t>
      </w:r>
      <w:hyperlink r:id="rId4" w:history="1">
        <w:r w:rsidR="0073521C">
          <w:rPr>
            <w:rStyle w:val="Hyperlink"/>
          </w:rPr>
          <w:t>https://my.americorps.gov/mp/login.do</w:t>
        </w:r>
      </w:hyperlink>
      <w:r w:rsidR="0073521C">
        <w:t xml:space="preserve"> and follow instructions at the site.</w:t>
      </w:r>
    </w:p>
    <w:p w:rsidR="00824FF9" w:rsidRDefault="00824FF9"/>
    <w:sectPr w:rsidR="00824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0E"/>
    <w:rsid w:val="00217783"/>
    <w:rsid w:val="003D0E5A"/>
    <w:rsid w:val="0073521C"/>
    <w:rsid w:val="00824FF9"/>
    <w:rsid w:val="0086620E"/>
    <w:rsid w:val="008D5369"/>
    <w:rsid w:val="00F8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D23F0"/>
  <w15:chartTrackingRefBased/>
  <w15:docId w15:val="{C3B7BB14-6C9C-45DA-AA9E-F1E66566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620E"/>
    <w:pPr>
      <w:widowControl w:val="0"/>
      <w:tabs>
        <w:tab w:val="center" w:pos="431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next w:val="Normal"/>
    <w:rsid w:val="0086620E"/>
  </w:style>
  <w:style w:type="character" w:styleId="Hyperlink">
    <w:name w:val="Hyperlink"/>
    <w:basedOn w:val="DefaultParagraphFont"/>
    <w:uiPriority w:val="99"/>
    <w:semiHidden/>
    <w:unhideWhenUsed/>
    <w:rsid w:val="007352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3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.americorps.gov/mp/login.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Burhans</dc:creator>
  <cp:keywords/>
  <dc:description/>
  <cp:lastModifiedBy>Terri Burhans</cp:lastModifiedBy>
  <cp:revision>1</cp:revision>
  <dcterms:created xsi:type="dcterms:W3CDTF">2018-05-04T18:04:00Z</dcterms:created>
  <dcterms:modified xsi:type="dcterms:W3CDTF">2018-05-04T19:03:00Z</dcterms:modified>
</cp:coreProperties>
</file>