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CC61" w14:textId="77777777" w:rsidR="00363EF0" w:rsidRPr="00363EF0" w:rsidRDefault="00363EF0" w:rsidP="00363EF0">
      <w:pPr>
        <w:rPr>
          <w:b/>
          <w:bCs/>
        </w:rPr>
      </w:pPr>
      <w:r w:rsidRPr="00363EF0">
        <w:rPr>
          <w:b/>
          <w:bCs/>
        </w:rPr>
        <w:t>ADDENDUM NO. 5</w:t>
      </w:r>
    </w:p>
    <w:p w14:paraId="7ED48478" w14:textId="77777777" w:rsidR="00363EF0" w:rsidRPr="00363EF0" w:rsidRDefault="00363EF0" w:rsidP="00363EF0">
      <w:r w:rsidRPr="00363EF0">
        <w:rPr>
          <w:b/>
          <w:bCs/>
        </w:rPr>
        <w:t>Surveillance System Modernization &amp; Integration RFP</w:t>
      </w:r>
      <w:r w:rsidRPr="00363EF0">
        <w:t xml:space="preserve"> </w:t>
      </w:r>
      <w:r w:rsidRPr="00363EF0">
        <w:rPr>
          <w:b/>
          <w:bCs/>
        </w:rPr>
        <w:t>Jefferson County, West Virginia</w:t>
      </w:r>
    </w:p>
    <w:p w14:paraId="39EAEAA0" w14:textId="77777777" w:rsidR="00363EF0" w:rsidRPr="00363EF0" w:rsidRDefault="00363EF0" w:rsidP="00363EF0">
      <w:r w:rsidRPr="00363EF0">
        <w:rPr>
          <w:b/>
          <w:bCs/>
        </w:rPr>
        <w:t>Date:</w:t>
      </w:r>
      <w:r w:rsidRPr="00363EF0">
        <w:t xml:space="preserve"> January 22, 2026**</w:t>
      </w:r>
    </w:p>
    <w:p w14:paraId="0437DFDC" w14:textId="77777777" w:rsidR="00363EF0" w:rsidRPr="00363EF0" w:rsidRDefault="00363EF0" w:rsidP="00363EF0">
      <w:r w:rsidRPr="00363EF0">
        <w:t>This Addendum provides clarification regarding the accuracy of floorplans, the design basis for all included facilities, and the interpretation of phased interior requirements as outlined in the RFP. All other terms, conditions, and requirements of the original RFP and prior addenda remain unchanged.</w:t>
      </w:r>
    </w:p>
    <w:p w14:paraId="6E93A554" w14:textId="77777777" w:rsidR="00363EF0" w:rsidRPr="00363EF0" w:rsidRDefault="00363EF0" w:rsidP="00363EF0">
      <w:pPr>
        <w:rPr>
          <w:b/>
          <w:bCs/>
        </w:rPr>
      </w:pPr>
      <w:r w:rsidRPr="00363EF0">
        <w:rPr>
          <w:b/>
          <w:bCs/>
        </w:rPr>
        <w:t>1. Clarification on Floorplans and Existing Conditions</w:t>
      </w:r>
    </w:p>
    <w:p w14:paraId="313A8060" w14:textId="77777777" w:rsidR="00363EF0" w:rsidRPr="00363EF0" w:rsidRDefault="00363EF0" w:rsidP="00363EF0">
      <w:r w:rsidRPr="00363EF0">
        <w:t>To ensure consistency across all vendor submissions, Jefferson County provides the following clarification regarding the floorplans distributed in Addendum No. 4 and the conditions observed during the walkthrough:</w:t>
      </w:r>
    </w:p>
    <w:p w14:paraId="2C5BBC44" w14:textId="77777777" w:rsidR="00363EF0" w:rsidRPr="00363EF0" w:rsidRDefault="00363EF0" w:rsidP="00363EF0">
      <w:pPr>
        <w:rPr>
          <w:b/>
          <w:bCs/>
        </w:rPr>
      </w:pPr>
      <w:r w:rsidRPr="00363EF0">
        <w:rPr>
          <w:b/>
          <w:bCs/>
        </w:rPr>
        <w:t>Accurate and Final Floorplans</w:t>
      </w:r>
    </w:p>
    <w:p w14:paraId="56524AED" w14:textId="77777777" w:rsidR="00363EF0" w:rsidRPr="00363EF0" w:rsidRDefault="00363EF0" w:rsidP="00363EF0">
      <w:r w:rsidRPr="00363EF0">
        <w:t xml:space="preserve">The following facilities have </w:t>
      </w:r>
      <w:r w:rsidRPr="00363EF0">
        <w:rPr>
          <w:b/>
          <w:bCs/>
        </w:rPr>
        <w:t>current, accurate, and final</w:t>
      </w:r>
      <w:r w:rsidRPr="00363EF0">
        <w:t xml:space="preserve"> floorplans that reflect the true layout, ingress/egress, and section divisions as they exist today:</w:t>
      </w:r>
    </w:p>
    <w:p w14:paraId="2E115837" w14:textId="77777777" w:rsidR="00363EF0" w:rsidRPr="00363EF0" w:rsidRDefault="00363EF0" w:rsidP="00363EF0">
      <w:pPr>
        <w:numPr>
          <w:ilvl w:val="0"/>
          <w:numId w:val="1"/>
        </w:numPr>
      </w:pPr>
      <w:r w:rsidRPr="00363EF0">
        <w:rPr>
          <w:b/>
          <w:bCs/>
        </w:rPr>
        <w:t>393 N Lawrence Street</w:t>
      </w:r>
    </w:p>
    <w:p w14:paraId="6A7201F5" w14:textId="77777777" w:rsidR="00363EF0" w:rsidRPr="00363EF0" w:rsidRDefault="00363EF0" w:rsidP="00363EF0">
      <w:pPr>
        <w:numPr>
          <w:ilvl w:val="0"/>
          <w:numId w:val="1"/>
        </w:numPr>
      </w:pPr>
      <w:r w:rsidRPr="00363EF0">
        <w:rPr>
          <w:b/>
          <w:bCs/>
        </w:rPr>
        <w:t>Sheriff’s Office – 102 Industrial Blvd</w:t>
      </w:r>
    </w:p>
    <w:p w14:paraId="32C1F4E3" w14:textId="77777777" w:rsidR="00363EF0" w:rsidRPr="00363EF0" w:rsidRDefault="00363EF0" w:rsidP="00363EF0">
      <w:pPr>
        <w:numPr>
          <w:ilvl w:val="0"/>
          <w:numId w:val="1"/>
        </w:numPr>
      </w:pPr>
      <w:r w:rsidRPr="00363EF0">
        <w:rPr>
          <w:b/>
          <w:bCs/>
        </w:rPr>
        <w:t>911 Communications Center – 28 Industrial Blvd</w:t>
      </w:r>
    </w:p>
    <w:p w14:paraId="55DC7CFC" w14:textId="77777777" w:rsidR="00363EF0" w:rsidRPr="00363EF0" w:rsidRDefault="00363EF0" w:rsidP="00363EF0">
      <w:r w:rsidRPr="00363EF0">
        <w:t>These plans match the conditions observed during the walkthrough and should be used directly for proposal development.</w:t>
      </w:r>
    </w:p>
    <w:p w14:paraId="06B3A532" w14:textId="77777777" w:rsidR="00363EF0" w:rsidRPr="00363EF0" w:rsidRDefault="00363EF0" w:rsidP="00363EF0">
      <w:pPr>
        <w:rPr>
          <w:b/>
          <w:bCs/>
        </w:rPr>
      </w:pPr>
      <w:r w:rsidRPr="00363EF0">
        <w:rPr>
          <w:b/>
          <w:bCs/>
        </w:rPr>
        <w:t>330 N George Street – Reference</w:t>
      </w:r>
      <w:r w:rsidRPr="00363EF0">
        <w:rPr>
          <w:b/>
          <w:bCs/>
        </w:rPr>
        <w:noBreakHyphen/>
        <w:t>Only Floorplans</w:t>
      </w:r>
    </w:p>
    <w:p w14:paraId="34D513E1" w14:textId="77777777" w:rsidR="00363EF0" w:rsidRPr="00363EF0" w:rsidRDefault="00363EF0" w:rsidP="00363EF0">
      <w:r w:rsidRPr="00363EF0">
        <w:t xml:space="preserve">The Judicial Building (330 N George Street) is the </w:t>
      </w:r>
      <w:r w:rsidRPr="00363EF0">
        <w:rPr>
          <w:b/>
          <w:bCs/>
        </w:rPr>
        <w:t>only</w:t>
      </w:r>
      <w:r w:rsidRPr="00363EF0">
        <w:t xml:space="preserve"> facility where:</w:t>
      </w:r>
    </w:p>
    <w:p w14:paraId="6D6878BA" w14:textId="77777777" w:rsidR="00363EF0" w:rsidRPr="00363EF0" w:rsidRDefault="00363EF0" w:rsidP="00363EF0">
      <w:pPr>
        <w:numPr>
          <w:ilvl w:val="0"/>
          <w:numId w:val="2"/>
        </w:numPr>
      </w:pPr>
      <w:r w:rsidRPr="00363EF0">
        <w:t>A future remodel is planned</w:t>
      </w:r>
    </w:p>
    <w:p w14:paraId="5BEC572D" w14:textId="77777777" w:rsidR="00363EF0" w:rsidRPr="00363EF0" w:rsidRDefault="00363EF0" w:rsidP="00363EF0">
      <w:pPr>
        <w:numPr>
          <w:ilvl w:val="0"/>
          <w:numId w:val="2"/>
        </w:numPr>
      </w:pPr>
      <w:r w:rsidRPr="00363EF0">
        <w:t xml:space="preserve">Final engineering drawings for the new layout do </w:t>
      </w:r>
      <w:r w:rsidRPr="00363EF0">
        <w:rPr>
          <w:b/>
          <w:bCs/>
        </w:rPr>
        <w:t>not</w:t>
      </w:r>
      <w:r w:rsidRPr="00363EF0">
        <w:t xml:space="preserve"> yet exist</w:t>
      </w:r>
    </w:p>
    <w:p w14:paraId="14D950DC" w14:textId="77777777" w:rsidR="00363EF0" w:rsidRPr="00363EF0" w:rsidRDefault="00363EF0" w:rsidP="00363EF0">
      <w:pPr>
        <w:numPr>
          <w:ilvl w:val="0"/>
          <w:numId w:val="2"/>
        </w:numPr>
      </w:pPr>
      <w:r w:rsidRPr="00363EF0">
        <w:t xml:space="preserve">The floorplans provided in Addendum No. 4 are </w:t>
      </w:r>
      <w:r w:rsidRPr="00363EF0">
        <w:rPr>
          <w:b/>
          <w:bCs/>
        </w:rPr>
        <w:t>reference only</w:t>
      </w:r>
    </w:p>
    <w:p w14:paraId="6FFFD6E5" w14:textId="77777777" w:rsidR="00363EF0" w:rsidRPr="00363EF0" w:rsidRDefault="00363EF0" w:rsidP="00363EF0">
      <w:pPr>
        <w:numPr>
          <w:ilvl w:val="0"/>
          <w:numId w:val="2"/>
        </w:numPr>
      </w:pPr>
      <w:r w:rsidRPr="00363EF0">
        <w:t xml:space="preserve">Vendors must rely on the </w:t>
      </w:r>
      <w:r w:rsidRPr="00363EF0">
        <w:rPr>
          <w:b/>
          <w:bCs/>
        </w:rPr>
        <w:t>current layout</w:t>
      </w:r>
      <w:r w:rsidRPr="00363EF0">
        <w:t xml:space="preserve"> observed during the walkthrough</w:t>
      </w:r>
    </w:p>
    <w:p w14:paraId="44E3FA44" w14:textId="77777777" w:rsidR="00363EF0" w:rsidRPr="00363EF0" w:rsidRDefault="00363EF0" w:rsidP="00363EF0">
      <w:r w:rsidRPr="00363EF0">
        <w:t xml:space="preserve">As stated in the RFP, proposals must be based on </w:t>
      </w:r>
      <w:r w:rsidRPr="00363EF0">
        <w:rPr>
          <w:b/>
          <w:bCs/>
        </w:rPr>
        <w:t>existing conditions</w:t>
      </w:r>
      <w:r w:rsidRPr="00363EF0">
        <w:t>, not future remodel concepts or preliminary discussions.</w:t>
      </w:r>
    </w:p>
    <w:p w14:paraId="7904CBE8" w14:textId="77777777" w:rsidR="00363EF0" w:rsidRPr="00363EF0" w:rsidRDefault="00363EF0" w:rsidP="00363EF0">
      <w:r w:rsidRPr="00363EF0">
        <w:t xml:space="preserve">This clarification does </w:t>
      </w:r>
      <w:r w:rsidRPr="00363EF0">
        <w:rPr>
          <w:b/>
          <w:bCs/>
        </w:rPr>
        <w:t>not</w:t>
      </w:r>
      <w:r w:rsidRPr="00363EF0">
        <w:t xml:space="preserve"> modify the scope established in Addendum No. 3.</w:t>
      </w:r>
    </w:p>
    <w:p w14:paraId="480F6EE1" w14:textId="77777777" w:rsidR="00363EF0" w:rsidRPr="00363EF0" w:rsidRDefault="00363EF0" w:rsidP="00363EF0">
      <w:pPr>
        <w:rPr>
          <w:b/>
          <w:bCs/>
        </w:rPr>
      </w:pPr>
      <w:r w:rsidRPr="00363EF0">
        <w:rPr>
          <w:b/>
          <w:bCs/>
        </w:rPr>
        <w:lastRenderedPageBreak/>
        <w:t>2. Reiteration of RFP Requirements for Buildings 393 &amp; 330</w:t>
      </w:r>
    </w:p>
    <w:p w14:paraId="131D8149" w14:textId="77777777" w:rsidR="00363EF0" w:rsidRPr="00363EF0" w:rsidRDefault="00363EF0" w:rsidP="00363EF0">
      <w:r w:rsidRPr="00363EF0">
        <w:t xml:space="preserve">The RFP already outlines the expectations for exterior and phased interior surveillance at Buildings </w:t>
      </w:r>
      <w:r w:rsidRPr="00363EF0">
        <w:rPr>
          <w:b/>
          <w:bCs/>
        </w:rPr>
        <w:t>393</w:t>
      </w:r>
      <w:r w:rsidRPr="00363EF0">
        <w:t xml:space="preserve"> and </w:t>
      </w:r>
      <w:r w:rsidRPr="00363EF0">
        <w:rPr>
          <w:b/>
          <w:bCs/>
        </w:rPr>
        <w:t>330</w:t>
      </w:r>
      <w:r w:rsidRPr="00363EF0">
        <w:t>. These requirements remain unchanged and are reiterated here for clarity:</w:t>
      </w:r>
    </w:p>
    <w:p w14:paraId="6DF5954C" w14:textId="77777777" w:rsidR="00363EF0" w:rsidRPr="00363EF0" w:rsidRDefault="00363EF0" w:rsidP="00363EF0">
      <w:pPr>
        <w:rPr>
          <w:b/>
          <w:bCs/>
        </w:rPr>
      </w:pPr>
      <w:r w:rsidRPr="00363EF0">
        <w:rPr>
          <w:b/>
          <w:bCs/>
        </w:rPr>
        <w:t>Exterior Surveillance – Buildings 393 &amp; 330</w:t>
      </w:r>
    </w:p>
    <w:p w14:paraId="016D8544" w14:textId="77777777" w:rsidR="00363EF0" w:rsidRPr="00363EF0" w:rsidRDefault="00363EF0" w:rsidP="00363EF0">
      <w:pPr>
        <w:numPr>
          <w:ilvl w:val="0"/>
          <w:numId w:val="3"/>
        </w:numPr>
      </w:pPr>
      <w:r w:rsidRPr="00363EF0">
        <w:t>Install perimeter cameras covering entry points, parking lots, and public zones</w:t>
      </w:r>
    </w:p>
    <w:p w14:paraId="619E3088" w14:textId="77777777" w:rsidR="00363EF0" w:rsidRPr="00363EF0" w:rsidRDefault="00363EF0" w:rsidP="00363EF0">
      <w:pPr>
        <w:numPr>
          <w:ilvl w:val="0"/>
          <w:numId w:val="3"/>
        </w:numPr>
      </w:pPr>
      <w:r w:rsidRPr="00363EF0">
        <w:t>Include night vision, motion detection, and remote access capabilities</w:t>
      </w:r>
    </w:p>
    <w:p w14:paraId="0CB8BF68" w14:textId="77777777" w:rsidR="00363EF0" w:rsidRPr="00363EF0" w:rsidRDefault="00363EF0" w:rsidP="00363EF0">
      <w:pPr>
        <w:numPr>
          <w:ilvl w:val="0"/>
          <w:numId w:val="3"/>
        </w:numPr>
      </w:pPr>
      <w:r w:rsidRPr="00363EF0">
        <w:t>Ensure future compatibility with interior systems</w:t>
      </w:r>
    </w:p>
    <w:p w14:paraId="2693AA3C" w14:textId="77777777" w:rsidR="00363EF0" w:rsidRPr="00363EF0" w:rsidRDefault="00363EF0" w:rsidP="00363EF0">
      <w:pPr>
        <w:rPr>
          <w:b/>
          <w:bCs/>
        </w:rPr>
      </w:pPr>
      <w:r w:rsidRPr="00363EF0">
        <w:rPr>
          <w:b/>
          <w:bCs/>
        </w:rPr>
        <w:t>Phased Interior Surveillance – Buildings 393 &amp; 330</w:t>
      </w:r>
    </w:p>
    <w:p w14:paraId="09F69525" w14:textId="77777777" w:rsidR="00363EF0" w:rsidRPr="00363EF0" w:rsidRDefault="00363EF0" w:rsidP="00363EF0">
      <w:pPr>
        <w:numPr>
          <w:ilvl w:val="0"/>
          <w:numId w:val="4"/>
        </w:numPr>
      </w:pPr>
      <w:r w:rsidRPr="00363EF0">
        <w:t>Design scalable interior layouts</w:t>
      </w:r>
    </w:p>
    <w:p w14:paraId="53C45BA5" w14:textId="77777777" w:rsidR="00363EF0" w:rsidRPr="00363EF0" w:rsidRDefault="00363EF0" w:rsidP="00363EF0">
      <w:pPr>
        <w:numPr>
          <w:ilvl w:val="0"/>
          <w:numId w:val="4"/>
        </w:numPr>
      </w:pPr>
      <w:r w:rsidRPr="00363EF0">
        <w:t>Align installation with construction milestones</w:t>
      </w:r>
    </w:p>
    <w:p w14:paraId="2EFCB36A" w14:textId="77777777" w:rsidR="00363EF0" w:rsidRPr="00363EF0" w:rsidRDefault="00363EF0" w:rsidP="00363EF0">
      <w:pPr>
        <w:numPr>
          <w:ilvl w:val="0"/>
          <w:numId w:val="4"/>
        </w:numPr>
      </w:pPr>
      <w:r w:rsidRPr="00363EF0">
        <w:t>Include courtroom, public, and administrative zones</w:t>
      </w:r>
    </w:p>
    <w:p w14:paraId="2F7BC79E" w14:textId="77777777" w:rsidR="00363EF0" w:rsidRPr="00363EF0" w:rsidRDefault="00363EF0" w:rsidP="00363EF0">
      <w:pPr>
        <w:numPr>
          <w:ilvl w:val="0"/>
          <w:numId w:val="4"/>
        </w:numPr>
      </w:pPr>
      <w:r w:rsidRPr="00363EF0">
        <w:t>Ensure ADA and IPC compliance for monitoring interfaces</w:t>
      </w:r>
    </w:p>
    <w:p w14:paraId="3AA5D7A2" w14:textId="77777777" w:rsidR="00363EF0" w:rsidRPr="00363EF0" w:rsidRDefault="00363EF0" w:rsidP="00363EF0">
      <w:pPr>
        <w:rPr>
          <w:b/>
          <w:bCs/>
        </w:rPr>
      </w:pPr>
      <w:r w:rsidRPr="00363EF0">
        <w:rPr>
          <w:b/>
          <w:bCs/>
        </w:rPr>
        <w:t>3. Proposal Development Expectations (Clarified)</w:t>
      </w:r>
    </w:p>
    <w:p w14:paraId="074E3686" w14:textId="77777777" w:rsidR="00363EF0" w:rsidRPr="00363EF0" w:rsidRDefault="00363EF0" w:rsidP="00363EF0">
      <w:r w:rsidRPr="00363EF0">
        <w:t>All vendors must prepare their proposals using:</w:t>
      </w:r>
    </w:p>
    <w:p w14:paraId="5E8E6FE5" w14:textId="77777777" w:rsidR="00363EF0" w:rsidRPr="00363EF0" w:rsidRDefault="00363EF0" w:rsidP="00363EF0">
      <w:pPr>
        <w:numPr>
          <w:ilvl w:val="0"/>
          <w:numId w:val="5"/>
        </w:numPr>
      </w:pPr>
      <w:r w:rsidRPr="00363EF0">
        <w:t xml:space="preserve">The </w:t>
      </w:r>
      <w:r w:rsidRPr="00363EF0">
        <w:rPr>
          <w:b/>
          <w:bCs/>
        </w:rPr>
        <w:t>accurate, final floorplans</w:t>
      </w:r>
      <w:r w:rsidRPr="00363EF0">
        <w:t xml:space="preserve"> for 393 N Lawrence Street, the Sheriff’s Office, and the 911 Communications Center</w:t>
      </w:r>
    </w:p>
    <w:p w14:paraId="19678D65" w14:textId="77777777" w:rsidR="00363EF0" w:rsidRPr="00363EF0" w:rsidRDefault="00363EF0" w:rsidP="00363EF0">
      <w:pPr>
        <w:numPr>
          <w:ilvl w:val="0"/>
          <w:numId w:val="5"/>
        </w:numPr>
      </w:pPr>
      <w:r w:rsidRPr="00363EF0">
        <w:t xml:space="preserve">The </w:t>
      </w:r>
      <w:r w:rsidRPr="00363EF0">
        <w:rPr>
          <w:b/>
          <w:bCs/>
        </w:rPr>
        <w:t>current layout</w:t>
      </w:r>
      <w:r w:rsidRPr="00363EF0">
        <w:t xml:space="preserve"> of 330 N George Street as observed during the walkthrough</w:t>
      </w:r>
    </w:p>
    <w:p w14:paraId="34A81011" w14:textId="77777777" w:rsidR="00363EF0" w:rsidRPr="00363EF0" w:rsidRDefault="00363EF0" w:rsidP="00363EF0">
      <w:pPr>
        <w:numPr>
          <w:ilvl w:val="0"/>
          <w:numId w:val="5"/>
        </w:numPr>
      </w:pPr>
      <w:r w:rsidRPr="00363EF0">
        <w:t xml:space="preserve">The </w:t>
      </w:r>
      <w:r w:rsidRPr="00363EF0">
        <w:rPr>
          <w:b/>
          <w:bCs/>
        </w:rPr>
        <w:t>reference floorplans</w:t>
      </w:r>
      <w:r w:rsidRPr="00363EF0">
        <w:t xml:space="preserve"> provided in Addendum No. 4 for 330</w:t>
      </w:r>
    </w:p>
    <w:p w14:paraId="2E7D34BE" w14:textId="77777777" w:rsidR="00363EF0" w:rsidRPr="00363EF0" w:rsidRDefault="00363EF0" w:rsidP="00363EF0">
      <w:pPr>
        <w:numPr>
          <w:ilvl w:val="0"/>
          <w:numId w:val="5"/>
        </w:numPr>
      </w:pPr>
      <w:r w:rsidRPr="00363EF0">
        <w:t>The RFP requirements for exterior and phased interior surveillance</w:t>
      </w:r>
    </w:p>
    <w:p w14:paraId="145D2B54" w14:textId="77777777" w:rsidR="00363EF0" w:rsidRPr="00363EF0" w:rsidRDefault="00363EF0" w:rsidP="00363EF0">
      <w:r w:rsidRPr="00363EF0">
        <w:t xml:space="preserve">The RFP requirement to </w:t>
      </w:r>
      <w:r w:rsidRPr="00363EF0">
        <w:rPr>
          <w:b/>
          <w:bCs/>
        </w:rPr>
        <w:t>“align installation with construction milestones”</w:t>
      </w:r>
      <w:r w:rsidRPr="00363EF0">
        <w:t xml:space="preserve"> applies to the </w:t>
      </w:r>
      <w:r w:rsidRPr="00363EF0">
        <w:rPr>
          <w:i/>
          <w:iCs/>
        </w:rPr>
        <w:t>phased interior work</w:t>
      </w:r>
      <w:r w:rsidRPr="00363EF0">
        <w:t xml:space="preserve"> at Buildings 393 and 330. Vendors must:</w:t>
      </w:r>
    </w:p>
    <w:p w14:paraId="5553E1DF" w14:textId="77777777" w:rsidR="00363EF0" w:rsidRPr="00363EF0" w:rsidRDefault="00363EF0" w:rsidP="00363EF0">
      <w:pPr>
        <w:numPr>
          <w:ilvl w:val="0"/>
          <w:numId w:val="6"/>
        </w:numPr>
      </w:pPr>
      <w:r w:rsidRPr="00363EF0">
        <w:rPr>
          <w:b/>
          <w:bCs/>
        </w:rPr>
        <w:t>Design</w:t>
      </w:r>
      <w:r w:rsidRPr="00363EF0">
        <w:t xml:space="preserve"> their solutions based on </w:t>
      </w:r>
      <w:r w:rsidRPr="00363EF0">
        <w:rPr>
          <w:b/>
          <w:bCs/>
        </w:rPr>
        <w:t>current, existing building conditions</w:t>
      </w:r>
      <w:r w:rsidRPr="00363EF0">
        <w:t>, and</w:t>
      </w:r>
    </w:p>
    <w:p w14:paraId="0E0D163C" w14:textId="77777777" w:rsidR="00363EF0" w:rsidRPr="00363EF0" w:rsidRDefault="00363EF0" w:rsidP="00363EF0">
      <w:pPr>
        <w:numPr>
          <w:ilvl w:val="0"/>
          <w:numId w:val="6"/>
        </w:numPr>
      </w:pPr>
      <w:r w:rsidRPr="00363EF0">
        <w:rPr>
          <w:b/>
          <w:bCs/>
        </w:rPr>
        <w:t>Structure their implementation plan</w:t>
      </w:r>
      <w:r w:rsidRPr="00363EF0">
        <w:t xml:space="preserve"> so that interior work can be executed in </w:t>
      </w:r>
      <w:r w:rsidRPr="00363EF0">
        <w:rPr>
          <w:b/>
          <w:bCs/>
        </w:rPr>
        <w:t>phases</w:t>
      </w:r>
      <w:r w:rsidRPr="00363EF0">
        <w:t xml:space="preserve"> once the County’s construction schedule is finalized</w:t>
      </w:r>
    </w:p>
    <w:p w14:paraId="271AB6B1" w14:textId="77777777" w:rsidR="00363EF0" w:rsidRPr="00363EF0" w:rsidRDefault="00363EF0" w:rsidP="00363EF0">
      <w:r w:rsidRPr="00363EF0">
        <w:t>Although final engineering plans for the remodel of 330 N George Street are not yet available, vendors must ensure that all proposed equipment and system architecture are:</w:t>
      </w:r>
    </w:p>
    <w:p w14:paraId="46DF754C" w14:textId="77777777" w:rsidR="00363EF0" w:rsidRPr="00363EF0" w:rsidRDefault="00363EF0" w:rsidP="00363EF0">
      <w:pPr>
        <w:numPr>
          <w:ilvl w:val="0"/>
          <w:numId w:val="7"/>
        </w:numPr>
      </w:pPr>
      <w:r w:rsidRPr="00363EF0">
        <w:rPr>
          <w:b/>
          <w:bCs/>
        </w:rPr>
        <w:t>Scalable</w:t>
      </w:r>
      <w:r w:rsidRPr="00363EF0">
        <w:t>,</w:t>
      </w:r>
    </w:p>
    <w:p w14:paraId="05A3CC04" w14:textId="77777777" w:rsidR="00363EF0" w:rsidRPr="00363EF0" w:rsidRDefault="00363EF0" w:rsidP="00363EF0">
      <w:pPr>
        <w:numPr>
          <w:ilvl w:val="0"/>
          <w:numId w:val="7"/>
        </w:numPr>
      </w:pPr>
      <w:r w:rsidRPr="00363EF0">
        <w:rPr>
          <w:b/>
          <w:bCs/>
        </w:rPr>
        <w:lastRenderedPageBreak/>
        <w:t>Modular</w:t>
      </w:r>
      <w:r w:rsidRPr="00363EF0">
        <w:t>, and</w:t>
      </w:r>
    </w:p>
    <w:p w14:paraId="77D65C0A" w14:textId="77777777" w:rsidR="00363EF0" w:rsidRPr="00363EF0" w:rsidRDefault="00363EF0" w:rsidP="00363EF0">
      <w:pPr>
        <w:numPr>
          <w:ilvl w:val="0"/>
          <w:numId w:val="7"/>
        </w:numPr>
      </w:pPr>
      <w:r w:rsidRPr="00363EF0">
        <w:t xml:space="preserve">Capable of supporting </w:t>
      </w:r>
      <w:r w:rsidRPr="00363EF0">
        <w:rPr>
          <w:b/>
          <w:bCs/>
        </w:rPr>
        <w:t>future phased expansion</w:t>
      </w:r>
      <w:r w:rsidRPr="00363EF0">
        <w:t xml:space="preserve"> as the courthouse remodel progresses.</w:t>
      </w:r>
    </w:p>
    <w:p w14:paraId="7595DA60" w14:textId="77777777" w:rsidR="00363EF0" w:rsidRPr="00363EF0" w:rsidRDefault="00363EF0" w:rsidP="00363EF0">
      <w:r w:rsidRPr="00363EF0">
        <w:t xml:space="preserve">Vendors are expected to provide </w:t>
      </w:r>
      <w:r w:rsidRPr="00363EF0">
        <w:rPr>
          <w:b/>
          <w:bCs/>
        </w:rPr>
        <w:t>ongoing guidance, integration planning, and oversight</w:t>
      </w:r>
      <w:r w:rsidRPr="00363EF0">
        <w:t xml:space="preserve"> to ensure proper coverage, continuity, and security throughout the multi</w:t>
      </w:r>
      <w:r w:rsidRPr="00363EF0">
        <w:noBreakHyphen/>
        <w:t>year construction process.</w:t>
      </w:r>
    </w:p>
    <w:p w14:paraId="10E780B3" w14:textId="77777777" w:rsidR="00363EF0" w:rsidRPr="00363EF0" w:rsidRDefault="00363EF0" w:rsidP="00363EF0">
      <w:pPr>
        <w:rPr>
          <w:b/>
          <w:bCs/>
        </w:rPr>
      </w:pPr>
      <w:r w:rsidRPr="00363EF0">
        <w:rPr>
          <w:b/>
          <w:bCs/>
        </w:rPr>
        <w:t>4. All Other Terms Remain Unchanged</w:t>
      </w:r>
    </w:p>
    <w:p w14:paraId="1C411531" w14:textId="77777777" w:rsidR="00363EF0" w:rsidRPr="00363EF0" w:rsidRDefault="00363EF0" w:rsidP="00363EF0">
      <w:r w:rsidRPr="00363EF0">
        <w:t xml:space="preserve">Except as modified by </w:t>
      </w:r>
      <w:proofErr w:type="gramStart"/>
      <w:r w:rsidRPr="00363EF0">
        <w:t>this Addendum</w:t>
      </w:r>
      <w:proofErr w:type="gramEnd"/>
      <w:r w:rsidRPr="00363EF0">
        <w:t xml:space="preserve"> No. 5, all terms, conditions, and requirements of the original RFP and prior addenda remain in full force and effect.</w:t>
      </w:r>
    </w:p>
    <w:p w14:paraId="441F4171" w14:textId="77777777" w:rsidR="00F339E9" w:rsidRDefault="00F339E9"/>
    <w:sectPr w:rsidR="00F33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C03"/>
    <w:multiLevelType w:val="multilevel"/>
    <w:tmpl w:val="9174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10A64"/>
    <w:multiLevelType w:val="multilevel"/>
    <w:tmpl w:val="B3BA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A3B60"/>
    <w:multiLevelType w:val="multilevel"/>
    <w:tmpl w:val="1D3C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A1606"/>
    <w:multiLevelType w:val="multilevel"/>
    <w:tmpl w:val="3D4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6203E"/>
    <w:multiLevelType w:val="multilevel"/>
    <w:tmpl w:val="356C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57C8D"/>
    <w:multiLevelType w:val="multilevel"/>
    <w:tmpl w:val="0E2E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914DB"/>
    <w:multiLevelType w:val="multilevel"/>
    <w:tmpl w:val="A16E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80239">
    <w:abstractNumId w:val="1"/>
  </w:num>
  <w:num w:numId="2" w16cid:durableId="1672832843">
    <w:abstractNumId w:val="0"/>
  </w:num>
  <w:num w:numId="3" w16cid:durableId="836383131">
    <w:abstractNumId w:val="6"/>
  </w:num>
  <w:num w:numId="4" w16cid:durableId="1403329709">
    <w:abstractNumId w:val="3"/>
  </w:num>
  <w:num w:numId="5" w16cid:durableId="1864125542">
    <w:abstractNumId w:val="5"/>
  </w:num>
  <w:num w:numId="6" w16cid:durableId="1320769296">
    <w:abstractNumId w:val="2"/>
  </w:num>
  <w:num w:numId="7" w16cid:durableId="644743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F0"/>
    <w:rsid w:val="00363EF0"/>
    <w:rsid w:val="0039144B"/>
    <w:rsid w:val="003F0B8C"/>
    <w:rsid w:val="0091391C"/>
    <w:rsid w:val="009D067A"/>
    <w:rsid w:val="00A6034C"/>
    <w:rsid w:val="00F3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67C4"/>
  <w15:chartTrackingRefBased/>
  <w15:docId w15:val="{74699A6E-FBEF-4015-A679-454D0180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E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63E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3EF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3EF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63EF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63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F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63E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63EF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3EF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63EF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63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EF0"/>
    <w:rPr>
      <w:rFonts w:eastAsiaTheme="majorEastAsia" w:cstheme="majorBidi"/>
      <w:color w:val="272727" w:themeColor="text1" w:themeTint="D8"/>
    </w:rPr>
  </w:style>
  <w:style w:type="paragraph" w:styleId="Title">
    <w:name w:val="Title"/>
    <w:basedOn w:val="Normal"/>
    <w:next w:val="Normal"/>
    <w:link w:val="TitleChar"/>
    <w:uiPriority w:val="10"/>
    <w:qFormat/>
    <w:rsid w:val="00363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EF0"/>
    <w:pPr>
      <w:spacing w:before="160"/>
      <w:jc w:val="center"/>
    </w:pPr>
    <w:rPr>
      <w:i/>
      <w:iCs/>
      <w:color w:val="404040" w:themeColor="text1" w:themeTint="BF"/>
    </w:rPr>
  </w:style>
  <w:style w:type="character" w:customStyle="1" w:styleId="QuoteChar">
    <w:name w:val="Quote Char"/>
    <w:basedOn w:val="DefaultParagraphFont"/>
    <w:link w:val="Quote"/>
    <w:uiPriority w:val="29"/>
    <w:rsid w:val="00363EF0"/>
    <w:rPr>
      <w:i/>
      <w:iCs/>
      <w:color w:val="404040" w:themeColor="text1" w:themeTint="BF"/>
    </w:rPr>
  </w:style>
  <w:style w:type="paragraph" w:styleId="ListParagraph">
    <w:name w:val="List Paragraph"/>
    <w:basedOn w:val="Normal"/>
    <w:uiPriority w:val="34"/>
    <w:qFormat/>
    <w:rsid w:val="00363EF0"/>
    <w:pPr>
      <w:ind w:left="720"/>
      <w:contextualSpacing/>
    </w:pPr>
  </w:style>
  <w:style w:type="character" w:styleId="IntenseEmphasis">
    <w:name w:val="Intense Emphasis"/>
    <w:basedOn w:val="DefaultParagraphFont"/>
    <w:uiPriority w:val="21"/>
    <w:qFormat/>
    <w:rsid w:val="00363EF0"/>
    <w:rPr>
      <w:i/>
      <w:iCs/>
      <w:color w:val="2E74B5" w:themeColor="accent1" w:themeShade="BF"/>
    </w:rPr>
  </w:style>
  <w:style w:type="paragraph" w:styleId="IntenseQuote">
    <w:name w:val="Intense Quote"/>
    <w:basedOn w:val="Normal"/>
    <w:next w:val="Normal"/>
    <w:link w:val="IntenseQuoteChar"/>
    <w:uiPriority w:val="30"/>
    <w:qFormat/>
    <w:rsid w:val="00363E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3EF0"/>
    <w:rPr>
      <w:i/>
      <w:iCs/>
      <w:color w:val="2E74B5" w:themeColor="accent1" w:themeShade="BF"/>
    </w:rPr>
  </w:style>
  <w:style w:type="character" w:styleId="IntenseReference">
    <w:name w:val="Intense Reference"/>
    <w:basedOn w:val="DefaultParagraphFont"/>
    <w:uiPriority w:val="32"/>
    <w:qFormat/>
    <w:rsid w:val="00363EF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Areizaga</dc:creator>
  <cp:keywords/>
  <dc:description/>
  <cp:lastModifiedBy>Gabriel Areizaga</cp:lastModifiedBy>
  <cp:revision>1</cp:revision>
  <dcterms:created xsi:type="dcterms:W3CDTF">2026-01-22T13:55:00Z</dcterms:created>
  <dcterms:modified xsi:type="dcterms:W3CDTF">2026-01-22T14:09:00Z</dcterms:modified>
</cp:coreProperties>
</file>